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2E" w:rsidRDefault="00FC630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2602E" w:rsidRDefault="00FC630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F2602E" w:rsidRDefault="00FC630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位擬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F2602E" w:rsidRDefault="00FC6300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</w:t>
      </w:r>
      <w:proofErr w:type="gramEnd"/>
      <w:r w:rsidR="00BB7C7F" w:rsidRPr="00BB7C7F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東海大學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＿＿＿＿＿＿＿＿＿＿＿＿＿＿＿</w:t>
      </w:r>
      <w:proofErr w:type="gramEnd"/>
    </w:p>
    <w:p w:rsidR="00F2602E" w:rsidRDefault="00FC630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BB7C7F" w:rsidRPr="00BB7C7F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1</w:t>
      </w:r>
      <w:r w:rsidR="00BB7C7F" w:rsidRPr="00BB7C7F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11</w:t>
      </w:r>
      <w:proofErr w:type="gramStart"/>
      <w:r w:rsidRPr="00BB7C7F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＿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 w:rsidR="00BB7C7F" w:rsidRPr="00BB7C7F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1</w:t>
      </w:r>
      <w:proofErr w:type="gramStart"/>
      <w:r w:rsidRPr="00BB7C7F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＿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</w:t>
      </w:r>
      <w:r w:rsidR="00BB7C7F" w:rsidRPr="00BB7C7F">
        <w:rPr>
          <w:rFonts w:ascii="Wingdings" w:eastAsia="Wingdings" w:hAnsi="Wingdings" w:cs="Wingdings"/>
          <w:color w:val="0D0D0D"/>
          <w:szCs w:val="24"/>
          <w:bdr w:val="single" w:sz="4" w:space="0" w:color="auto"/>
        </w:rPr>
        <w:t>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proofErr w:type="gramStart"/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2602E" w:rsidRDefault="00FC630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bookmarkStart w:id="0" w:name="_Hlk86994343"/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bookmarkEnd w:id="0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1017F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親屬</w:t>
            </w:r>
            <w:r w:rsidR="00BB7C7F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法實例演習與專題研究(</w:t>
            </w:r>
            <w:proofErr w:type="gramStart"/>
            <w:r w:rsidR="00BB7C7F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一</w:t>
            </w:r>
            <w:proofErr w:type="gramEnd"/>
            <w:r w:rsidR="00BB7C7F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)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BB7C7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C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ase Study and </w:t>
            </w:r>
            <w:r w:rsidR="00730A8D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Seminar on Family Law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□非同步遠距教學</w:t>
            </w:r>
          </w:p>
          <w:p w:rsidR="00F2602E" w:rsidRDefault="00730A8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同步遠距教學主播學校  </w:t>
            </w:r>
          </w:p>
          <w:p w:rsidR="00F2602E" w:rsidRDefault="00FC630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F2602E" w:rsidRDefault="00FC630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(1)學校:  </w:t>
            </w:r>
            <w:r w:rsidR="00730A8D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東海大學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         系所:</w:t>
            </w:r>
            <w:r w:rsidR="00730A8D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 法律系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簡良育 副教授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F2602E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法律學院法律系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1017F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kern w:val="0"/>
                <w:sz w:val="23"/>
                <w:szCs w:val="23"/>
              </w:rPr>
              <w:t>□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學士班  </w:t>
            </w:r>
            <w:r>
              <w:rPr>
                <w:rFonts w:ascii="標楷體" w:eastAsia="標楷體" w:hAnsi="標楷體" w:cs="Times New Roman" w:hint="eastAsia"/>
                <w:color w:val="0D0D0D"/>
                <w:kern w:val="0"/>
                <w:sz w:val="23"/>
                <w:szCs w:val="23"/>
              </w:rPr>
              <w:t>□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進修學士班   □學士班在職專班</w:t>
            </w:r>
          </w:p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  □碩士班在職專班  □博士班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 w:rsidP="00592A8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日間部  </w:t>
            </w:r>
            <w:r w:rsidR="001017F6">
              <w:rPr>
                <w:rFonts w:ascii="標楷體" w:eastAsia="標楷體" w:hAnsi="標楷體" w:cs="Times New Roman" w:hint="eastAsia"/>
                <w:color w:val="0D0D0D"/>
                <w:kern w:val="0"/>
                <w:sz w:val="23"/>
                <w:szCs w:val="23"/>
              </w:rPr>
              <w:t>□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進修部(夜間部)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</w:t>
            </w:r>
            <w:r w:rsidR="00730A8D"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所定  </w:t>
            </w:r>
            <w:r w:rsidR="00730A8D"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□必修  </w:t>
            </w:r>
            <w:r w:rsidR="00730A8D"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2 學分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  <w:r w:rsidR="00730A8D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2</w:t>
            </w:r>
            <w:r w:rsidR="00730A8D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學分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1班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30A8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3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5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人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 w:rsidR="00730A8D" w:rsidRPr="00BB7C7F">
              <w:rPr>
                <w:rFonts w:ascii="Wingdings" w:eastAsia="Wingdings" w:hAnsi="Wingdings" w:cs="Wingdings"/>
                <w:color w:val="0D0D0D"/>
                <w:szCs w:val="24"/>
                <w:bdr w:val="single" w:sz="4" w:space="0" w:color="auto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60555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hyperlink r:id="rId7" w:history="1">
              <w:r w:rsidR="00730A8D" w:rsidRPr="00C06749">
                <w:rPr>
                  <w:rStyle w:val="af1"/>
                  <w:rFonts w:ascii="標楷體" w:eastAsia="標楷體" w:hAnsi="標楷體" w:cs="Times New Roman"/>
                  <w:sz w:val="23"/>
                  <w:szCs w:val="23"/>
                </w:rPr>
                <w:t>https://ilearn.thu.edu.tw</w:t>
              </w:r>
            </w:hyperlink>
            <w:r w:rsidR="00730A8D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6736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6736BA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http://desc.ithu.tw/111/1/7319</w:t>
            </w:r>
            <w:bookmarkStart w:id="1" w:name="_GoBack"/>
            <w:bookmarkEnd w:id="1"/>
          </w:p>
        </w:tc>
      </w:tr>
    </w:tbl>
    <w:p w:rsidR="00F2602E" w:rsidRDefault="00FC630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0D4C" w:rsidRDefault="00AC7310" w:rsidP="00C70D4C">
            <w:pPr>
              <w:pStyle w:val="Standard"/>
              <w:numPr>
                <w:ilvl w:val="0"/>
                <w:numId w:val="31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C7310">
              <w:rPr>
                <w:rFonts w:ascii="標楷體" w:eastAsia="標楷體" w:hAnsi="標楷體" w:cs="Times New Roman" w:hint="eastAsia"/>
                <w:color w:val="0D0D0D"/>
                <w:szCs w:val="24"/>
              </w:rPr>
              <w:t>人為群居動物，本質的、自然的結合以互助共存、生殖繁衍、資源取得與分配。個人從生至死，基於父母子女,夫妻,親屬,家庭等結合而發生一定的身分法律關係。</w:t>
            </w:r>
            <w:r w:rsidR="00237340" w:rsidRPr="00237340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我國</w:t>
            </w:r>
            <w:r w:rsid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親屬</w:t>
            </w:r>
            <w:r w:rsidR="00237340" w:rsidRPr="00237340">
              <w:rPr>
                <w:rFonts w:ascii="標楷體" w:eastAsia="標楷體" w:hAnsi="標楷體" w:cs="Times New Roman" w:hint="eastAsia"/>
                <w:color w:val="0D0D0D"/>
                <w:szCs w:val="24"/>
              </w:rPr>
              <w:t>法</w:t>
            </w:r>
            <w:r w:rsidR="00F10D35" w:rsidRP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從婚姻、離婚、親權、父母子女、收養、監護、家、扶養</w:t>
            </w:r>
            <w:proofErr w:type="gramStart"/>
            <w:r w:rsidR="00F10D35" w:rsidRP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等均詳為</w:t>
            </w:r>
            <w:proofErr w:type="gramEnd"/>
            <w:r w:rsidR="00F10D35" w:rsidRP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規範。相關特別法如人工生殖、兒童與少年福利與權益、病人自主權利、老人福利</w:t>
            </w:r>
            <w:r w:rsid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C70D4C" w:rsidRPr="00237340">
              <w:rPr>
                <w:rFonts w:ascii="標楷體" w:eastAsia="標楷體" w:hAnsi="標楷體" w:cs="Times New Roman" w:hint="eastAsia"/>
                <w:color w:val="0D0D0D"/>
                <w:szCs w:val="24"/>
              </w:rPr>
              <w:t>司法院釋字第七四八號解釋施行法</w:t>
            </w:r>
            <w:proofErr w:type="gramStart"/>
            <w:r w:rsidR="00F10D35" w:rsidRP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等均有特別</w:t>
            </w:r>
            <w:proofErr w:type="gramEnd"/>
            <w:r w:rsidR="00F10D35" w:rsidRPr="00F10D35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規範。</w:t>
            </w:r>
            <w:proofErr w:type="gramStart"/>
            <w:r w:rsid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此外，</w:t>
            </w:r>
            <w:proofErr w:type="gramEnd"/>
            <w:r w:rsid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家事事件法則為</w:t>
            </w:r>
            <w:r w:rsidR="00C70D4C" w:rsidRP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妥適、迅速、統合處理家事事件，維護人格尊嚴、保障性別地位平等、謀求未成年子女最佳利益，並健全社會共同生活</w:t>
            </w:r>
            <w:r w:rsid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之</w:t>
            </w:r>
            <w:r w:rsidR="00237340" w:rsidRPr="00237340">
              <w:rPr>
                <w:rFonts w:ascii="標楷體" w:eastAsia="標楷體" w:hAnsi="標楷體" w:cs="Times New Roman" w:hint="eastAsia"/>
                <w:color w:val="0D0D0D"/>
                <w:szCs w:val="24"/>
              </w:rPr>
              <w:t>相關程序法</w:t>
            </w:r>
            <w:r w:rsidR="00C70D4C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。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本課程透過</w:t>
            </w:r>
            <w:r w:rsid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相關程序法的介紹、特定法律專題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與案例</w:t>
            </w:r>
            <w:r w:rsid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分析，使同學對</w:t>
            </w:r>
            <w:r w:rsidR="002F1D1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親屬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法</w:t>
            </w:r>
            <w:r w:rsid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的程序及實體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有</w:t>
            </w:r>
            <w:r w:rsid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進一步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的瞭解並具有解決</w:t>
            </w:r>
            <w:r w:rsidR="002F1D1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親屬</w:t>
            </w:r>
            <w:r w:rsidR="00DF2865" w:rsidRPr="00DF2865">
              <w:rPr>
                <w:rFonts w:ascii="標楷體" w:eastAsia="標楷體" w:hAnsi="標楷體" w:cs="Times New Roman" w:hint="eastAsia"/>
                <w:color w:val="0D0D0D"/>
                <w:szCs w:val="24"/>
              </w:rPr>
              <w:t>法相關案例之能力。</w:t>
            </w:r>
          </w:p>
          <w:p w:rsidR="004807CE" w:rsidRDefault="00C70D4C" w:rsidP="004807CE">
            <w:pPr>
              <w:pStyle w:val="Standard"/>
              <w:numPr>
                <w:ilvl w:val="0"/>
                <w:numId w:val="31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隨著社會</w:t>
            </w:r>
            <w:r w:rsidR="00DF2865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</w:t>
            </w: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發展</w:t>
            </w:r>
            <w:r w:rsidR="00DF2865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</w:t>
            </w: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家庭結構與價值觀之變遷下，</w:t>
            </w:r>
            <w:r w:rsidR="00DF2865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家事訴訟及非訟案件，逐年增加。</w:t>
            </w:r>
            <w:r w:rsidR="004807CE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</w:t>
            </w:r>
            <w:r w:rsidR="00D6505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主以案例</w:t>
            </w:r>
            <w:proofErr w:type="gramStart"/>
            <w:r w:rsidR="00E236A9">
              <w:rPr>
                <w:rFonts w:ascii="標楷體" w:eastAsia="標楷體" w:hAnsi="標楷體" w:cs="Times New Roman" w:hint="eastAsia"/>
                <w:color w:val="0D0D0D"/>
                <w:szCs w:val="24"/>
              </w:rPr>
              <w:t>研</w:t>
            </w:r>
            <w:proofErr w:type="gramEnd"/>
            <w:r w:rsidR="00D6505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析與實務問題，引導同學思考及了解，</w:t>
            </w:r>
            <w:r w:rsidR="002F1D1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親屬</w:t>
            </w:r>
            <w:r w:rsidR="00D6505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法之實體及程序規定於具體案件中之適用。並就專題，介紹</w:t>
            </w:r>
            <w:r w:rsidR="008848B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相關人權公約及</w:t>
            </w:r>
            <w:r w:rsidR="00D6505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外國立法例，啟發同學</w:t>
            </w:r>
            <w:r w:rsidR="00BF3496">
              <w:rPr>
                <w:rFonts w:ascii="標楷體" w:eastAsia="標楷體" w:hAnsi="標楷體" w:cs="Times New Roman" w:hint="eastAsia"/>
                <w:color w:val="0D0D0D"/>
                <w:szCs w:val="24"/>
              </w:rPr>
              <w:t>之</w:t>
            </w:r>
            <w:r w:rsidR="00D6505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問題</w:t>
            </w:r>
            <w:r w:rsidR="008848BF"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意識能力、培養人本關懷及宏觀的視野。</w:t>
            </w:r>
          </w:p>
          <w:p w:rsidR="004B3068" w:rsidRDefault="004B3068" w:rsidP="004B3068">
            <w:pPr>
              <w:pStyle w:val="Standard"/>
              <w:numPr>
                <w:ilvl w:val="0"/>
                <w:numId w:val="31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本課程為培養同學整理與吸收判決之能力，透過學習及實務</w:t>
            </w:r>
            <w:proofErr w:type="gramStart"/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研</w:t>
            </w:r>
            <w:proofErr w:type="gramEnd"/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 析，加上實作案例</w:t>
            </w:r>
            <w:r w:rsidR="00E236A9">
              <w:rPr>
                <w:rFonts w:ascii="標楷體" w:eastAsia="標楷體" w:hAnsi="標楷體" w:cs="Times New Roman" w:hint="eastAsia"/>
                <w:color w:val="0D0D0D"/>
                <w:szCs w:val="24"/>
              </w:rPr>
              <w:t>摘要</w:t>
            </w: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報告與論文相似度比對之練習，訓練以自己的文字寫作</w:t>
            </w:r>
            <w:r w:rsidR="009969B9">
              <w:rPr>
                <w:rFonts w:ascii="標楷體" w:eastAsia="標楷體" w:hAnsi="標楷體" w:cs="Times New Roman" w:hint="eastAsia"/>
                <w:color w:val="0D0D0D"/>
                <w:szCs w:val="24"/>
              </w:rPr>
              <w:t>與</w:t>
            </w:r>
            <w:proofErr w:type="gramStart"/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研</w:t>
            </w:r>
            <w:proofErr w:type="gramEnd"/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析案例之能力</w:t>
            </w:r>
            <w:r w:rsidR="009969B9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。</w:t>
            </w:r>
            <w:r w:rsidRPr="004B306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學期中舉行案例教學示範與隨堂練習及相似度比對之學習。希望透過個案教學法，培養同學發現問題與解決問題之能力。</w:t>
            </w:r>
          </w:p>
          <w:p w:rsidR="00F2602E" w:rsidRDefault="00A5646D" w:rsidP="00A5646D">
            <w:pPr>
              <w:pStyle w:val="Standard"/>
              <w:numPr>
                <w:ilvl w:val="0"/>
                <w:numId w:val="31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本課程於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期末實體上課時，將舉行</w:t>
            </w:r>
            <w:r w:rsidR="00E452AB">
              <w:rPr>
                <w:rFonts w:ascii="標楷體" w:eastAsia="標楷體" w:hAnsi="標楷體" w:cs="Times New Roman" w:hint="eastAsia"/>
                <w:color w:val="0D0D0D"/>
                <w:szCs w:val="24"/>
              </w:rPr>
              <w:t>親屬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法專題學生論壇，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進行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分組案例報告發表、與談及綜合討論（預計上下二場次，視修課人數調整），每組四人（視修課人數調整），就教師指定之法院判決</w:t>
            </w:r>
            <w:r w:rsidR="00E236A9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或裁定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進行</w:t>
            </w:r>
            <w:r w:rsidR="00E236A9">
              <w:rPr>
                <w:rFonts w:ascii="標楷體" w:eastAsia="標楷體" w:hAnsi="標楷體" w:cs="Times New Roman" w:hint="eastAsia"/>
                <w:color w:val="0D0D0D"/>
                <w:szCs w:val="24"/>
              </w:rPr>
              <w:t>案件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摘要、爭點整理、</w:t>
            </w:r>
            <w:r w:rsidR="00E236A9">
              <w:rPr>
                <w:rFonts w:ascii="標楷體" w:eastAsia="標楷體" w:hAnsi="標楷體" w:cs="Times New Roman" w:hint="eastAsia"/>
                <w:color w:val="0D0D0D"/>
                <w:szCs w:val="24"/>
              </w:rPr>
              <w:t>案件</w:t>
            </w:r>
            <w:r w:rsidR="004B3068" w:rsidRP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理由歸納與相關案件之討論。</w:t>
            </w:r>
            <w:r w:rsidR="00C75823">
              <w:rPr>
                <w:rFonts w:ascii="標楷體" w:eastAsia="標楷體" w:hAnsi="標楷體" w:cs="Times New Roman" w:hint="eastAsia"/>
                <w:color w:val="0D0D0D"/>
                <w:szCs w:val="24"/>
              </w:rPr>
              <w:t>綜合培養同學</w:t>
            </w:r>
            <w:r w:rsidR="00C75823" w:rsidRPr="00C7582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言語</w:t>
            </w:r>
            <w:r w:rsidR="00C7582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論述及</w:t>
            </w:r>
            <w:r w:rsidR="00C75823" w:rsidRPr="00C75823">
              <w:rPr>
                <w:rFonts w:ascii="標楷體" w:eastAsia="標楷體" w:hAnsi="標楷體" w:cs="Times New Roman" w:hint="eastAsia"/>
                <w:color w:val="0D0D0D"/>
                <w:szCs w:val="24"/>
              </w:rPr>
              <w:t>表達之能力。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5A669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日間部學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士班</w:t>
            </w:r>
            <w:r w:rsidR="0081645D">
              <w:rPr>
                <w:rFonts w:ascii="標楷體" w:eastAsia="標楷體" w:hAnsi="標楷體" w:cs="Times New Roman" w:hint="eastAsia"/>
                <w:color w:val="0D0D0D"/>
                <w:szCs w:val="24"/>
              </w:rPr>
              <w:t>四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年級以上、進修學士班</w:t>
            </w:r>
            <w:r w:rsidR="0081645D">
              <w:rPr>
                <w:rFonts w:ascii="標楷體" w:eastAsia="標楷體" w:hAnsi="標楷體" w:cs="Times New Roman" w:hint="eastAsia"/>
                <w:color w:val="0D0D0D"/>
                <w:szCs w:val="24"/>
              </w:rPr>
              <w:t>五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年級以上</w:t>
            </w:r>
            <w:r w:rsidR="0074686F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74686F" w:rsidRPr="0074686F">
              <w:rPr>
                <w:rFonts w:ascii="標楷體" w:eastAsia="標楷體" w:hAnsi="標楷體" w:cs="Times New Roman" w:hint="eastAsia"/>
                <w:color w:val="0D0D0D"/>
                <w:szCs w:val="24"/>
              </w:rPr>
              <w:t>以法律系為</w:t>
            </w:r>
            <w:r w:rsidR="00F634CD">
              <w:rPr>
                <w:rFonts w:ascii="標楷體" w:eastAsia="標楷體" w:hAnsi="標楷體" w:cs="Times New Roman" w:hint="eastAsia"/>
                <w:color w:val="0D0D0D"/>
                <w:szCs w:val="24"/>
              </w:rPr>
              <w:t>雙</w:t>
            </w:r>
            <w:r w:rsidR="0074686F" w:rsidRPr="0074686F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主修</w:t>
            </w:r>
            <w:r w:rsidR="0074686F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並修過親屬</w:t>
            </w:r>
            <w:r w:rsidR="001A748E"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</w:t>
            </w:r>
            <w:r w:rsidR="0074686F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及碩士班之學生</w:t>
            </w:r>
          </w:p>
        </w:tc>
      </w:tr>
      <w:tr w:rsidR="00F2602E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7A73" w:rsidRDefault="00C17A73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7A73" w:rsidRDefault="00C17A73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7A73" w:rsidRDefault="00C17A73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7A73" w:rsidRDefault="00C17A73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7A73" w:rsidRDefault="00C17A73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60B1" w:rsidRDefault="00D760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課程介紹、</w:t>
                  </w:r>
                  <w:r w:rsidRPr="00D760B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身分法益與</w:t>
                  </w:r>
                </w:p>
                <w:p w:rsidR="00F2602E" w:rsidRDefault="00D760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相關人權公約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D760B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親屬法與家事事件法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6F63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親屬法與家事事件法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6F63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同性婚姻</w:t>
                  </w:r>
                  <w:r w:rsidR="00FA7D3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、組成家庭</w:t>
                  </w:r>
                  <w:r w:rsidR="00133EBF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權益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6289D" w:rsidRDefault="00FA7D3E" w:rsidP="0086289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婚約、</w:t>
                  </w:r>
                  <w:r w:rsidR="006F63E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婚姻無效得撤銷</w:t>
                  </w:r>
                  <w:r w:rsidR="0086289D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、</w:t>
                  </w:r>
                </w:p>
                <w:p w:rsidR="00F2602E" w:rsidRDefault="0086289D" w:rsidP="0086289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事實上夫妻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6F63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身分上契約</w:t>
                  </w:r>
                  <w:r w:rsidR="00FA7D3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、婚前協議、夫妻別居、夫妻財產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lastRenderedPageBreak/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6F63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離婚</w:t>
                  </w:r>
                  <w:r w:rsidR="00133EBF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要件、效果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164B" w:rsidRDefault="00BF7A1B" w:rsidP="00BF7A1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論文相似度比對學習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及</w:t>
                  </w:r>
                  <w:r w:rsidR="00592A8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案例教學示範(</w:t>
                  </w:r>
                  <w:r w:rsidR="0032164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案件</w:t>
                  </w:r>
                  <w:r w:rsidR="00592A8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摘要、爭點整理、</w:t>
                  </w:r>
                  <w:r w:rsidR="0032164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案件</w:t>
                  </w:r>
                  <w:r w:rsidR="00592A8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理由</w:t>
                  </w:r>
                  <w:r w:rsidR="0032164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歸納</w:t>
                  </w:r>
                  <w:r w:rsidR="00592A8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、相關案件討論)與</w:t>
                  </w:r>
                </w:p>
                <w:p w:rsidR="00F2602E" w:rsidRDefault="00592A8A" w:rsidP="00BF7A1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隨堂練習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17633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會面交往權之行使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846B5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未成年子女之親權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846B5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92A8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離婚後未成年子女之親權行使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BD0E9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婚生子女之否認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BD0E9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非婚生子女認領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BD0E9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收養未成年、成年子女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0E9B" w:rsidRDefault="00BD0E9B" w:rsidP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846B5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收養之終止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846B5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扶養、要件、方法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7A1B" w:rsidRDefault="001017F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親屬</w:t>
                  </w:r>
                  <w:r w:rsid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法專題學生論壇：(上)</w:t>
                  </w:r>
                </w:p>
                <w:p w:rsidR="00176337" w:rsidRDefault="00FA7D3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分組案例報告</w:t>
                  </w:r>
                  <w:r w:rsid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發表、</w:t>
                  </w:r>
                </w:p>
                <w:p w:rsidR="00F2602E" w:rsidRDefault="00BF7A1B" w:rsidP="0017633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與談及綜合</w:t>
                  </w:r>
                  <w:r w:rsidR="00FA7D3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BD0E9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7A1B" w:rsidRPr="00BF7A1B" w:rsidRDefault="001017F6" w:rsidP="00BF7A1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親屬</w:t>
                  </w:r>
                  <w:r w:rsidR="00BF7A1B" w:rsidRP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法專題學生論壇：</w:t>
                  </w:r>
                  <w:r w:rsid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(下)</w:t>
                  </w:r>
                </w:p>
                <w:p w:rsidR="00BF7A1B" w:rsidRDefault="00BF7A1B" w:rsidP="00BF7A1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分組案例報告發表、</w:t>
                  </w:r>
                </w:p>
                <w:p w:rsidR="00F2602E" w:rsidRDefault="00BF7A1B" w:rsidP="00BF7A1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BF7A1B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與談及綜合討論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51081" w:rsidRDefault="00BD0E9B" w:rsidP="00C5108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Wingdings" w:hint="eastAsia"/>
                      <w:color w:val="0D0D0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Pr="00080526" w:rsidRDefault="00080526" w:rsidP="00080526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Wingdings" w:eastAsia="Wingdings" w:hAnsi="Wingdings" w:cs="Wingdings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  </w:t>
            </w: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F2602E" w:rsidRDefault="00FC6300" w:rsidP="00080526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F2602E" w:rsidRDefault="00080526" w:rsidP="00080526">
            <w:pPr>
              <w:pStyle w:val="Standard"/>
              <w:tabs>
                <w:tab w:val="left" w:pos="1344"/>
              </w:tabs>
              <w:snapToGrid w:val="0"/>
              <w:ind w:left="270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Theme="minorEastAsia" w:eastAsiaTheme="minorEastAsia" w:hAnsiTheme="minorEastAsia" w:cs="Wingdings" w:hint="eastAsia"/>
                <w:color w:val="0D0D0D"/>
                <w:szCs w:val="24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D8194D">
              <w:rPr>
                <w:rFonts w:ascii="標楷體" w:eastAsia="標楷體" w:hAnsi="標楷體" w:cs="Times New Roman" w:hint="eastAsia"/>
                <w:color w:val="0D0D0D"/>
                <w:szCs w:val="24"/>
              </w:rPr>
              <w:t>6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</w:t>
            </w:r>
            <w:r w:rsidR="00D8194D">
              <w:rPr>
                <w:rFonts w:ascii="標楷體" w:eastAsia="標楷體" w:hAnsi="標楷體" w:cs="Times New Roman"/>
                <w:color w:val="0D0D0D"/>
                <w:szCs w:val="24"/>
              </w:rPr>
              <w:t>2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080526" w:rsidP="00080526">
            <w:pPr>
              <w:pStyle w:val="Standard"/>
              <w:tabs>
                <w:tab w:val="left" w:pos="1344"/>
              </w:tabs>
              <w:snapToGrid w:val="0"/>
              <w:ind w:firstLineChars="100" w:firstLine="280"/>
              <w:jc w:val="both"/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</w:t>
            </w:r>
            <w:r w:rsidR="00D8194D">
              <w:rPr>
                <w:rFonts w:ascii="標楷體" w:eastAsia="標楷體" w:hAnsi="標楷體" w:cs="Times New Roman"/>
                <w:color w:val="0D0D0D"/>
                <w:szCs w:val="24"/>
              </w:rPr>
              <w:t>2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2</w:t>
            </w:r>
            <w:r w:rsidR="00D8194D">
              <w:rPr>
                <w:rFonts w:ascii="標楷體" w:eastAsia="標楷體" w:hAnsi="標楷體" w:cs="Times New Roman"/>
                <w:color w:val="0D0D0D"/>
                <w:szCs w:val="24"/>
              </w:rPr>
              <w:t>4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F2602E" w:rsidRDefault="00080526" w:rsidP="0008052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F2602E" w:rsidRDefault="00080526" w:rsidP="0008052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課程資訊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F2602E" w:rsidRDefault="00080526" w:rsidP="0008052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最新消息發佈、瀏覽</w:t>
            </w:r>
          </w:p>
          <w:p w:rsidR="00F2602E" w:rsidRDefault="00080526" w:rsidP="00080526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教材內容設計、觀看、下載</w:t>
            </w:r>
          </w:p>
          <w:p w:rsidR="00F2602E" w:rsidRDefault="00AA6603" w:rsidP="00AA6603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成績系統管理及查詢</w:t>
            </w:r>
          </w:p>
          <w:p w:rsidR="00F2602E" w:rsidRDefault="00AA6603" w:rsidP="00AA6603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F2602E" w:rsidRDefault="00AA6603" w:rsidP="00AA6603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學習資訊</w:t>
            </w:r>
          </w:p>
          <w:p w:rsidR="00F2602E" w:rsidRDefault="00AA6603" w:rsidP="00AA6603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互動式學習設計(聊天室或討論區)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AA660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教學討論區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、E-mail信箱、</w:t>
            </w:r>
            <w:r w:rsidR="001017F6">
              <w:rPr>
                <w:rFonts w:ascii="標楷體" w:eastAsia="標楷體" w:hAnsi="標楷體" w:cs="Times New Roman" w:hint="eastAsia"/>
                <w:color w:val="0D0D0D"/>
                <w:szCs w:val="24"/>
              </w:rPr>
              <w:t>o</w:t>
            </w:r>
            <w:r w:rsidR="001017F6">
              <w:rPr>
                <w:rFonts w:ascii="標楷體" w:eastAsia="標楷體" w:hAnsi="標楷體" w:cs="Times New Roman"/>
                <w:color w:val="0D0D0D"/>
                <w:szCs w:val="24"/>
              </w:rPr>
              <w:t>ffice hour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: 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每週二下午第8節於教師研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lastRenderedPageBreak/>
              <w:t>究室及實體上課前半小時或後半小時於教室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AA6603" w:rsidP="002E3D70">
            <w:pPr>
              <w:pStyle w:val="Standard"/>
              <w:tabs>
                <w:tab w:val="left" w:pos="1504"/>
              </w:tabs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F2602E" w:rsidRDefault="00AA6603" w:rsidP="002E3D70">
            <w:pPr>
              <w:pStyle w:val="Standard"/>
              <w:tabs>
                <w:tab w:val="left" w:pos="1504"/>
              </w:tabs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F2602E" w:rsidRDefault="00AA6603" w:rsidP="002E3D70">
            <w:pPr>
              <w:pStyle w:val="Standard"/>
              <w:tabs>
                <w:tab w:val="left" w:pos="1504"/>
              </w:tabs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8C6EB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平時成績以</w:t>
            </w:r>
            <w:r w:rsidR="00AA6603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上課參與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（包括</w:t>
            </w:r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同步教學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、</w:t>
            </w:r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實體上課參與及出席率</w:t>
            </w:r>
            <w:r w:rsidR="006E2230">
              <w:rPr>
                <w:rFonts w:ascii="標楷體" w:eastAsia="標楷體" w:hAnsi="標楷體" w:cs="Times New Roman"/>
                <w:color w:val="0D0D0D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及隨堂練習</w:t>
            </w:r>
            <w:proofErr w:type="gramStart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35%、配合課程進度之線上作業</w:t>
            </w:r>
            <w:proofErr w:type="gramStart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30</w:t>
            </w:r>
            <w:r w:rsidR="006E2230">
              <w:rPr>
                <w:rFonts w:ascii="標楷體" w:eastAsia="標楷體" w:hAnsi="標楷體" w:cs="Times New Roman"/>
                <w:color w:val="0D0D0D"/>
                <w:szCs w:val="24"/>
              </w:rPr>
              <w:t>%</w:t>
            </w:r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、分組報告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發表</w:t>
            </w:r>
            <w:proofErr w:type="gramStart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="006E2230">
              <w:rPr>
                <w:rFonts w:ascii="標楷體" w:eastAsia="標楷體" w:hAnsi="標楷體" w:cs="Times New Roman" w:hint="eastAsia"/>
                <w:color w:val="0D0D0D"/>
                <w:szCs w:val="24"/>
              </w:rPr>
              <w:t>35%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1946" w:rsidRPr="00AB1946" w:rsidRDefault="00AB1946" w:rsidP="00AB1946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B1946">
              <w:rPr>
                <w:rFonts w:ascii="標楷體" w:eastAsia="標楷體" w:hAnsi="標楷體" w:cs="Times New Roman"/>
                <w:color w:val="0D0D0D"/>
                <w:szCs w:val="24"/>
              </w:rPr>
              <w:t>1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第一</w:t>
            </w:r>
            <w:proofErr w:type="gramStart"/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週</w:t>
            </w:r>
            <w:proofErr w:type="gramEnd"/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（次）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及第二</w:t>
            </w:r>
            <w:proofErr w:type="gramStart"/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週</w:t>
            </w:r>
            <w:proofErr w:type="gramEnd"/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(次)實體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上課</w:t>
            </w:r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時，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請務必出席並聽取課程說明，</w:t>
            </w:r>
            <w:proofErr w:type="gramStart"/>
            <w:r w:rsidR="003E221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均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未出席者</w:t>
            </w:r>
            <w:proofErr w:type="gramEnd"/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不得修習本課程。</w:t>
            </w:r>
          </w:p>
          <w:p w:rsidR="00AB1946" w:rsidRPr="00AB1946" w:rsidRDefault="00AB1946" w:rsidP="00AB1946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B1946">
              <w:rPr>
                <w:rFonts w:ascii="標楷體" w:eastAsia="標楷體" w:hAnsi="標楷體" w:cs="Times New Roman"/>
                <w:color w:val="0D0D0D"/>
                <w:szCs w:val="24"/>
              </w:rPr>
              <w:t>2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成績評量以平時成績(3</w:t>
            </w:r>
            <w:r w:rsidR="00072898">
              <w:rPr>
                <w:rFonts w:ascii="標楷體" w:eastAsia="標楷體" w:hAnsi="標楷體" w:cs="Times New Roman"/>
                <w:color w:val="0D0D0D"/>
                <w:szCs w:val="24"/>
              </w:rPr>
              <w:t>5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%)及</w:t>
            </w:r>
            <w:r w:rsid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線上作業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成績(3</w:t>
            </w:r>
            <w:r w:rsidR="00072898">
              <w:rPr>
                <w:rFonts w:ascii="標楷體" w:eastAsia="標楷體" w:hAnsi="標楷體" w:cs="Times New Roman"/>
                <w:color w:val="0D0D0D"/>
                <w:szCs w:val="24"/>
              </w:rPr>
              <w:t>0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%)及</w:t>
            </w:r>
            <w:r w:rsid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分組報告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成績(35%)三部分綜合評量為原則。平時成績則以</w:t>
            </w:r>
            <w:r w:rsid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同步教學及實體上課參與及</w:t>
            </w:r>
            <w:r w:rsidR="00072898" w:rsidRP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出缺席狀況、隨堂測驗、隨堂練習等綜合評量為主。</w:t>
            </w:r>
            <w:r w:rsidR="008C6EB0">
              <w:rPr>
                <w:rFonts w:ascii="標楷體" w:eastAsia="標楷體" w:hAnsi="標楷體" w:cs="Times New Roman" w:hint="eastAsia"/>
                <w:color w:val="0D0D0D"/>
                <w:szCs w:val="24"/>
              </w:rPr>
              <w:t>配合</w:t>
            </w:r>
            <w:r w:rsidR="008C6EB0" w:rsidRPr="008C6EB0"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課程進度之線上作業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與相似度比對的實作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</w:t>
            </w:r>
            <w:r w:rsidR="00072898">
              <w:rPr>
                <w:rFonts w:ascii="標楷體" w:eastAsia="標楷體" w:hAnsi="標楷體" w:cs="Times New Roman" w:hint="eastAsia"/>
                <w:color w:val="0D0D0D"/>
                <w:szCs w:val="24"/>
              </w:rPr>
              <w:t>需</w:t>
            </w:r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限時完成(遲交不計分)，此部分作業</w:t>
            </w:r>
            <w:proofErr w:type="gramStart"/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學期總成績百分之三十。</w:t>
            </w:r>
          </w:p>
          <w:p w:rsidR="00176337" w:rsidRDefault="00AB1946" w:rsidP="00056DC2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B1946">
              <w:rPr>
                <w:rFonts w:ascii="標楷體" w:eastAsia="標楷體" w:hAnsi="標楷體" w:cs="Times New Roman"/>
                <w:color w:val="0D0D0D"/>
                <w:szCs w:val="24"/>
              </w:rPr>
              <w:t>3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FA27E0" w:rsidRPr="00FA27E0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透過學習及實務</w:t>
            </w:r>
            <w:proofErr w:type="gramStart"/>
            <w:r w:rsidR="00FA27E0" w:rsidRPr="00FA27E0">
              <w:rPr>
                <w:rFonts w:ascii="標楷體" w:eastAsia="標楷體" w:hAnsi="標楷體" w:cs="Times New Roman" w:hint="eastAsia"/>
                <w:color w:val="0D0D0D"/>
                <w:szCs w:val="24"/>
              </w:rPr>
              <w:t>研</w:t>
            </w:r>
            <w:proofErr w:type="gramEnd"/>
            <w:r w:rsidR="00FA27E0" w:rsidRPr="00FA27E0">
              <w:rPr>
                <w:rFonts w:ascii="標楷體" w:eastAsia="標楷體" w:hAnsi="標楷體" w:cs="Times New Roman" w:hint="eastAsia"/>
                <w:color w:val="0D0D0D"/>
                <w:szCs w:val="24"/>
              </w:rPr>
              <w:t>析</w:t>
            </w:r>
            <w:r w:rsidR="00056D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</w:t>
            </w:r>
            <w:r w:rsidR="003F36CC">
              <w:rPr>
                <w:rFonts w:ascii="標楷體" w:eastAsia="標楷體" w:hAnsi="標楷體" w:cs="Times New Roman" w:hint="eastAsia"/>
                <w:color w:val="0D0D0D"/>
                <w:szCs w:val="24"/>
              </w:rPr>
              <w:t>加上</w:t>
            </w:r>
            <w:r w:rsidR="003F36CC" w:rsidRPr="003F36CC">
              <w:rPr>
                <w:rFonts w:ascii="標楷體" w:eastAsia="標楷體" w:hAnsi="標楷體" w:cs="Times New Roman" w:hint="eastAsia"/>
                <w:color w:val="0D0D0D"/>
                <w:szCs w:val="24"/>
              </w:rPr>
              <w:t>實作案例摘要報告與論文相似度比對之練習，訓練以自己的文字寫作與</w:t>
            </w:r>
            <w:proofErr w:type="gramStart"/>
            <w:r w:rsidR="003F36CC" w:rsidRPr="003F36CC">
              <w:rPr>
                <w:rFonts w:ascii="標楷體" w:eastAsia="標楷體" w:hAnsi="標楷體" w:cs="Times New Roman" w:hint="eastAsia"/>
                <w:color w:val="0D0D0D"/>
                <w:szCs w:val="24"/>
              </w:rPr>
              <w:t>研</w:t>
            </w:r>
            <w:proofErr w:type="gramEnd"/>
            <w:r w:rsidR="003F36CC" w:rsidRPr="003F36CC">
              <w:rPr>
                <w:rFonts w:ascii="標楷體" w:eastAsia="標楷體" w:hAnsi="標楷體" w:cs="Times New Roman" w:hint="eastAsia"/>
                <w:color w:val="0D0D0D"/>
                <w:szCs w:val="24"/>
              </w:rPr>
              <w:t>析案例之能力。</w:t>
            </w:r>
            <w:r w:rsidR="00056D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學期中舉行</w:t>
            </w:r>
            <w:r w:rsidR="00056DC2" w:rsidRPr="00056D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案例教學示範</w:t>
            </w:r>
            <w:r w:rsidR="00176337" w:rsidRP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與隨堂練習</w:t>
            </w:r>
            <w:r w:rsidR="00056D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及相似度比對之</w:t>
            </w:r>
            <w:r w:rsidR="00176337"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學習。</w:t>
            </w:r>
          </w:p>
          <w:p w:rsidR="00F2602E" w:rsidRDefault="00176337" w:rsidP="007948DD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</w:t>
            </w:r>
            <w:r w:rsidR="00A5646D"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</w:t>
            </w:r>
            <w:r w:rsidR="00AB1946" w:rsidRPr="00AB1946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期末</w:t>
            </w:r>
            <w:r w:rsidR="007948DD">
              <w:rPr>
                <w:rFonts w:ascii="標楷體" w:eastAsia="標楷體" w:hAnsi="標楷體" w:cs="Times New Roman" w:hint="eastAsia"/>
                <w:color w:val="0D0D0D"/>
                <w:szCs w:val="24"/>
              </w:rPr>
              <w:t>實體上課時，</w:t>
            </w:r>
            <w:r w:rsidR="003F36CC" w:rsidRPr="003F36CC">
              <w:rPr>
                <w:rFonts w:ascii="標楷體" w:eastAsia="標楷體" w:hAnsi="標楷體" w:cs="Times New Roman" w:hint="eastAsia"/>
                <w:color w:val="0D0D0D"/>
                <w:szCs w:val="24"/>
              </w:rPr>
              <w:t>將舉行親屬法專題學生論壇，進行分組案例報告發表、與談及綜合討論（預計上下二場次，視修課人數調整），每組四人（視修課人數調整），就教師指定之法院判決或裁定進行案件摘要、爭點整理、案件理由歸納與相關案件之討論。綜合培養同學言語論述及表達之能力。</w:t>
            </w:r>
          </w:p>
        </w:tc>
      </w:tr>
    </w:tbl>
    <w:p w:rsidR="00F2602E" w:rsidRDefault="00F2602E">
      <w:pPr>
        <w:pStyle w:val="Standard"/>
      </w:pPr>
    </w:p>
    <w:p w:rsidR="006E7B7D" w:rsidRPr="001D589B" w:rsidRDefault="006E7B7D">
      <w:pPr>
        <w:pStyle w:val="Standard"/>
        <w:rPr>
          <w:rFonts w:ascii="新細明體" w:hAnsi="新細明體"/>
          <w:szCs w:val="24"/>
        </w:rPr>
      </w:pPr>
      <w:bookmarkStart w:id="2" w:name="_Hlk99622038"/>
      <w:r w:rsidRPr="001D589B">
        <w:rPr>
          <w:rFonts w:ascii="新細明體" w:hAnsi="新細明體" w:hint="eastAsia"/>
          <w:szCs w:val="24"/>
        </w:rPr>
        <w:t>◎申請之理由與目的:</w:t>
      </w:r>
    </w:p>
    <w:p w:rsidR="006E7B7D" w:rsidRPr="001D589B" w:rsidRDefault="006E7B7D">
      <w:pPr>
        <w:pStyle w:val="Standard"/>
        <w:rPr>
          <w:rFonts w:ascii="新細明體" w:hAnsi="新細明體"/>
          <w:szCs w:val="24"/>
        </w:rPr>
      </w:pPr>
      <w:r w:rsidRPr="001D589B">
        <w:rPr>
          <w:rFonts w:ascii="新細明體" w:hAnsi="新細明體" w:hint="eastAsia"/>
          <w:szCs w:val="24"/>
        </w:rPr>
        <w:t>一、因應資訊化發展，充分利用現代化科技，創造多元化的學習環境。</w:t>
      </w:r>
    </w:p>
    <w:p w:rsidR="006E7B7D" w:rsidRPr="001D589B" w:rsidRDefault="006E7B7D">
      <w:pPr>
        <w:pStyle w:val="Standard"/>
        <w:rPr>
          <w:rFonts w:ascii="新細明體" w:hAnsi="新細明體"/>
          <w:szCs w:val="24"/>
        </w:rPr>
      </w:pPr>
      <w:r w:rsidRPr="001D589B">
        <w:rPr>
          <w:rFonts w:ascii="新細明體" w:hAnsi="新細明體" w:hint="eastAsia"/>
          <w:szCs w:val="24"/>
        </w:rPr>
        <w:t>二、</w:t>
      </w:r>
      <w:proofErr w:type="gramStart"/>
      <w:r w:rsidRPr="001D589B">
        <w:rPr>
          <w:rFonts w:ascii="新細明體" w:hAnsi="新細明體" w:hint="eastAsia"/>
          <w:szCs w:val="24"/>
        </w:rPr>
        <w:t>避免線上教學</w:t>
      </w:r>
      <w:proofErr w:type="gramEnd"/>
      <w:r w:rsidRPr="001D589B">
        <w:rPr>
          <w:rFonts w:ascii="新細明體" w:hAnsi="新細明體" w:hint="eastAsia"/>
          <w:szCs w:val="24"/>
        </w:rPr>
        <w:t>可能產生之疏離感，配合部分實體上課，促進學習上之互動與交流。</w:t>
      </w:r>
    </w:p>
    <w:p w:rsidR="006E7B7D" w:rsidRPr="001D589B" w:rsidRDefault="006E7B7D">
      <w:pPr>
        <w:pStyle w:val="Standard"/>
        <w:rPr>
          <w:rFonts w:ascii="新細明體" w:hAnsi="新細明體"/>
          <w:szCs w:val="24"/>
        </w:rPr>
      </w:pPr>
      <w:r w:rsidRPr="001D589B">
        <w:rPr>
          <w:rFonts w:ascii="新細明體" w:hAnsi="新細明體" w:hint="eastAsia"/>
          <w:szCs w:val="24"/>
        </w:rPr>
        <w:t>三、</w:t>
      </w:r>
      <w:r w:rsidR="001D589B" w:rsidRPr="001D589B">
        <w:rPr>
          <w:rFonts w:ascii="新細明體" w:hAnsi="新細明體" w:hint="eastAsia"/>
          <w:szCs w:val="24"/>
        </w:rPr>
        <w:t>以學生為學習主體</w:t>
      </w:r>
      <w:r w:rsidRPr="001D589B">
        <w:rPr>
          <w:rFonts w:ascii="新細明體" w:hAnsi="新細明體" w:hint="eastAsia"/>
          <w:szCs w:val="24"/>
        </w:rPr>
        <w:t>，</w:t>
      </w:r>
      <w:r w:rsidR="001D589B" w:rsidRPr="001D589B">
        <w:rPr>
          <w:rFonts w:ascii="新細明體" w:hAnsi="新細明體" w:hint="eastAsia"/>
          <w:szCs w:val="24"/>
        </w:rPr>
        <w:t>鼓勵其互助合作，分組共同學習。將其學習成果，以學生論壇方式發表，</w:t>
      </w:r>
      <w:r w:rsidRPr="001D589B">
        <w:rPr>
          <w:rFonts w:ascii="新細明體" w:hAnsi="新細明體" w:hint="eastAsia"/>
          <w:szCs w:val="24"/>
        </w:rPr>
        <w:t>綜合提升教學品質。</w:t>
      </w:r>
      <w:bookmarkEnd w:id="2"/>
    </w:p>
    <w:sectPr w:rsidR="006E7B7D" w:rsidRPr="001D589B">
      <w:headerReference w:type="default" r:id="rId8"/>
      <w:footerReference w:type="default" r:id="rId9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56" w:rsidRDefault="00605556">
      <w:r>
        <w:separator/>
      </w:r>
    </w:p>
  </w:endnote>
  <w:endnote w:type="continuationSeparator" w:id="0">
    <w:p w:rsidR="00605556" w:rsidRDefault="0060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736BA">
      <w:rPr>
        <w:noProof/>
      </w:rPr>
      <w:t>4</w:t>
    </w:r>
    <w:r>
      <w:fldChar w:fldCharType="end"/>
    </w:r>
  </w:p>
  <w:p w:rsidR="00174D1E" w:rsidRDefault="006055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56" w:rsidRDefault="00605556">
      <w:r>
        <w:rPr>
          <w:color w:val="000000"/>
        </w:rPr>
        <w:separator/>
      </w:r>
    </w:p>
  </w:footnote>
  <w:footnote w:type="continuationSeparator" w:id="0">
    <w:p w:rsidR="00605556" w:rsidRDefault="0060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108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41"/>
    <w:multiLevelType w:val="multilevel"/>
    <w:tmpl w:val="1C36A06A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07873"/>
    <w:multiLevelType w:val="hybridMultilevel"/>
    <w:tmpl w:val="6C5C6ED4"/>
    <w:lvl w:ilvl="0" w:tplc="9CE22DC6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A2D3F"/>
    <w:multiLevelType w:val="multilevel"/>
    <w:tmpl w:val="EC92591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73C"/>
    <w:multiLevelType w:val="multilevel"/>
    <w:tmpl w:val="A268F6A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97ADE"/>
    <w:multiLevelType w:val="multilevel"/>
    <w:tmpl w:val="B30C5DF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37719"/>
    <w:multiLevelType w:val="multilevel"/>
    <w:tmpl w:val="8F6832E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8B1C3B"/>
    <w:multiLevelType w:val="multilevel"/>
    <w:tmpl w:val="6590D18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42F57"/>
    <w:multiLevelType w:val="multilevel"/>
    <w:tmpl w:val="8CF29E7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7265B"/>
    <w:multiLevelType w:val="multilevel"/>
    <w:tmpl w:val="3984D96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E318D"/>
    <w:multiLevelType w:val="multilevel"/>
    <w:tmpl w:val="63A41CD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0" w15:restartNumberingAfterBreak="0">
    <w:nsid w:val="2E203E0D"/>
    <w:multiLevelType w:val="multilevel"/>
    <w:tmpl w:val="8E4438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D6BEE"/>
    <w:multiLevelType w:val="multilevel"/>
    <w:tmpl w:val="96C0BE9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853745"/>
    <w:multiLevelType w:val="multilevel"/>
    <w:tmpl w:val="23283A7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D52216"/>
    <w:multiLevelType w:val="multilevel"/>
    <w:tmpl w:val="D4F42E1A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C4B9B"/>
    <w:multiLevelType w:val="multilevel"/>
    <w:tmpl w:val="884C2F6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24D38"/>
    <w:multiLevelType w:val="multilevel"/>
    <w:tmpl w:val="4040421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13DF"/>
    <w:multiLevelType w:val="multilevel"/>
    <w:tmpl w:val="FFA28F0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F1CEB"/>
    <w:multiLevelType w:val="hybridMultilevel"/>
    <w:tmpl w:val="31E47DF6"/>
    <w:lvl w:ilvl="0" w:tplc="CEE23B7A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9069EA"/>
    <w:multiLevelType w:val="multilevel"/>
    <w:tmpl w:val="2BF48F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969CF"/>
    <w:multiLevelType w:val="multilevel"/>
    <w:tmpl w:val="CFEE6D2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744EC2"/>
    <w:multiLevelType w:val="multilevel"/>
    <w:tmpl w:val="61F2EC58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D85ED5"/>
    <w:multiLevelType w:val="multilevel"/>
    <w:tmpl w:val="BB24E0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C7335"/>
    <w:multiLevelType w:val="multilevel"/>
    <w:tmpl w:val="EE806C5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892C8B"/>
    <w:multiLevelType w:val="multilevel"/>
    <w:tmpl w:val="3B42A71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F579F0"/>
    <w:multiLevelType w:val="multilevel"/>
    <w:tmpl w:val="6AF82A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781A4553"/>
    <w:multiLevelType w:val="multilevel"/>
    <w:tmpl w:val="AB84604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111895"/>
    <w:multiLevelType w:val="multilevel"/>
    <w:tmpl w:val="99306B92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8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3"/>
  </w:num>
  <w:num w:numId="10">
    <w:abstractNumId w:val="26"/>
  </w:num>
  <w:num w:numId="11">
    <w:abstractNumId w:val="8"/>
  </w:num>
  <w:num w:numId="12">
    <w:abstractNumId w:val="21"/>
  </w:num>
  <w:num w:numId="13">
    <w:abstractNumId w:val="12"/>
  </w:num>
  <w:num w:numId="14">
    <w:abstractNumId w:val="22"/>
  </w:num>
  <w:num w:numId="15">
    <w:abstractNumId w:val="4"/>
  </w:num>
  <w:num w:numId="16">
    <w:abstractNumId w:val="0"/>
  </w:num>
  <w:num w:numId="17">
    <w:abstractNumId w:val="11"/>
  </w:num>
  <w:num w:numId="18">
    <w:abstractNumId w:val="20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25"/>
  </w:num>
  <w:num w:numId="24">
    <w:abstractNumId w:val="14"/>
  </w:num>
  <w:num w:numId="25">
    <w:abstractNumId w:val="7"/>
  </w:num>
  <w:num w:numId="26">
    <w:abstractNumId w:val="12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036C1D"/>
    <w:rsid w:val="00056DC2"/>
    <w:rsid w:val="00072898"/>
    <w:rsid w:val="00080526"/>
    <w:rsid w:val="000D0398"/>
    <w:rsid w:val="000E55F5"/>
    <w:rsid w:val="001017F6"/>
    <w:rsid w:val="001324FD"/>
    <w:rsid w:val="00133EBF"/>
    <w:rsid w:val="00176337"/>
    <w:rsid w:val="001A748E"/>
    <w:rsid w:val="001D589B"/>
    <w:rsid w:val="00221369"/>
    <w:rsid w:val="00237340"/>
    <w:rsid w:val="002A0A7B"/>
    <w:rsid w:val="002E3D70"/>
    <w:rsid w:val="002F1D13"/>
    <w:rsid w:val="002F67A6"/>
    <w:rsid w:val="0032164B"/>
    <w:rsid w:val="003E2219"/>
    <w:rsid w:val="003F36CC"/>
    <w:rsid w:val="004807CE"/>
    <w:rsid w:val="004B3068"/>
    <w:rsid w:val="00592A8A"/>
    <w:rsid w:val="005A6690"/>
    <w:rsid w:val="005F356B"/>
    <w:rsid w:val="00605556"/>
    <w:rsid w:val="006736BA"/>
    <w:rsid w:val="0068712B"/>
    <w:rsid w:val="006A3270"/>
    <w:rsid w:val="006E2230"/>
    <w:rsid w:val="006E7B7D"/>
    <w:rsid w:val="006F63E4"/>
    <w:rsid w:val="00730A8D"/>
    <w:rsid w:val="0073748A"/>
    <w:rsid w:val="0074686F"/>
    <w:rsid w:val="007948DD"/>
    <w:rsid w:val="0079625F"/>
    <w:rsid w:val="007A4C9E"/>
    <w:rsid w:val="0081645D"/>
    <w:rsid w:val="00846B50"/>
    <w:rsid w:val="0086289D"/>
    <w:rsid w:val="008848BF"/>
    <w:rsid w:val="008C6EB0"/>
    <w:rsid w:val="009512ED"/>
    <w:rsid w:val="009969B9"/>
    <w:rsid w:val="00A5646D"/>
    <w:rsid w:val="00AA6603"/>
    <w:rsid w:val="00AB1946"/>
    <w:rsid w:val="00AC7310"/>
    <w:rsid w:val="00AE653F"/>
    <w:rsid w:val="00B350E6"/>
    <w:rsid w:val="00BB7C7F"/>
    <w:rsid w:val="00BD0E9B"/>
    <w:rsid w:val="00BF3406"/>
    <w:rsid w:val="00BF3496"/>
    <w:rsid w:val="00BF7A1B"/>
    <w:rsid w:val="00C00270"/>
    <w:rsid w:val="00C16558"/>
    <w:rsid w:val="00C17A73"/>
    <w:rsid w:val="00C23243"/>
    <w:rsid w:val="00C51081"/>
    <w:rsid w:val="00C70D4C"/>
    <w:rsid w:val="00C75823"/>
    <w:rsid w:val="00C8236D"/>
    <w:rsid w:val="00D6505F"/>
    <w:rsid w:val="00D760B1"/>
    <w:rsid w:val="00D8194D"/>
    <w:rsid w:val="00DF2865"/>
    <w:rsid w:val="00E236A9"/>
    <w:rsid w:val="00E452AB"/>
    <w:rsid w:val="00EB16F7"/>
    <w:rsid w:val="00F01346"/>
    <w:rsid w:val="00F10D35"/>
    <w:rsid w:val="00F2602E"/>
    <w:rsid w:val="00F56FFA"/>
    <w:rsid w:val="00F634CD"/>
    <w:rsid w:val="00F76924"/>
    <w:rsid w:val="00FA27E0"/>
    <w:rsid w:val="00FA7D3E"/>
    <w:rsid w:val="00FB2B09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B9F2"/>
  <w15:docId w15:val="{472D283F-8C04-4F4C-BE0D-568ADDA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basedOn w:val="a0"/>
    <w:uiPriority w:val="99"/>
    <w:unhideWhenUsed/>
    <w:rsid w:val="00730A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earn.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陳孟吟</dc:creator>
  <cp:lastModifiedBy>林碧茵</cp:lastModifiedBy>
  <cp:revision>5</cp:revision>
  <cp:lastPrinted>2016-05-18T01:53:00Z</cp:lastPrinted>
  <dcterms:created xsi:type="dcterms:W3CDTF">2022-03-31T04:11:00Z</dcterms:created>
  <dcterms:modified xsi:type="dcterms:W3CDTF">2022-10-07T07:10:00Z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